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CFC8" w14:textId="0F129637" w:rsidR="00DC5BF1" w:rsidRPr="00DC5BF1" w:rsidRDefault="00DC5BF1" w:rsidP="00010B0F">
      <w:pPr>
        <w:spacing w:after="27"/>
        <w:ind w:left="0" w:firstLine="0"/>
        <w:jc w:val="right"/>
      </w:pPr>
      <w:r>
        <w:rPr>
          <w:noProof/>
        </w:rPr>
        <w:drawing>
          <wp:anchor distT="0" distB="0" distL="114300" distR="114300" simplePos="0" relativeHeight="251658240" behindDoc="1" locked="0" layoutInCell="1" allowOverlap="1" wp14:anchorId="7A353636" wp14:editId="6165688A">
            <wp:simplePos x="0" y="0"/>
            <wp:positionH relativeFrom="column">
              <wp:posOffset>-399415</wp:posOffset>
            </wp:positionH>
            <wp:positionV relativeFrom="paragraph">
              <wp:posOffset>-890016</wp:posOffset>
            </wp:positionV>
            <wp:extent cx="2971784" cy="2316607"/>
            <wp:effectExtent l="0" t="0" r="635" b="7620"/>
            <wp:wrapNone/>
            <wp:docPr id="1" name="Picture 1" descr="Grant will allow CiTi BOCES to expand its distance lear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t will allow CiTi BOCES to expand its distance learning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784" cy="23166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2A492" w14:textId="77777777" w:rsidR="009A7E6C" w:rsidRDefault="009A7E6C">
      <w:pPr>
        <w:spacing w:after="0"/>
        <w:ind w:left="0" w:right="80" w:firstLine="0"/>
        <w:jc w:val="center"/>
        <w:rPr>
          <w:b/>
          <w:i/>
        </w:rPr>
      </w:pPr>
    </w:p>
    <w:p w14:paraId="3BA3FB84" w14:textId="77777777" w:rsidR="009A7E6C" w:rsidRDefault="009A7E6C">
      <w:pPr>
        <w:spacing w:after="0"/>
        <w:ind w:left="0" w:right="80" w:firstLine="0"/>
        <w:jc w:val="center"/>
        <w:rPr>
          <w:b/>
          <w:i/>
        </w:rPr>
      </w:pPr>
    </w:p>
    <w:p w14:paraId="48F9A288" w14:textId="77777777" w:rsidR="00DC5BF1" w:rsidRDefault="00DC5BF1" w:rsidP="00DC5BF1">
      <w:pPr>
        <w:spacing w:after="0"/>
        <w:ind w:left="0" w:right="80" w:firstLine="0"/>
        <w:rPr>
          <w:b/>
          <w:i/>
        </w:rPr>
      </w:pPr>
    </w:p>
    <w:p w14:paraId="04DE8F4E" w14:textId="77777777" w:rsidR="00010B0F" w:rsidRDefault="00010B0F">
      <w:pPr>
        <w:spacing w:after="27"/>
        <w:ind w:left="0" w:right="84" w:firstLine="0"/>
        <w:jc w:val="center"/>
        <w:rPr>
          <w:b/>
        </w:rPr>
      </w:pPr>
    </w:p>
    <w:p w14:paraId="64FCDBE1" w14:textId="77777777" w:rsidR="00010B0F" w:rsidRDefault="00010B0F">
      <w:pPr>
        <w:spacing w:after="27"/>
        <w:ind w:left="0" w:right="84" w:firstLine="0"/>
        <w:jc w:val="center"/>
        <w:rPr>
          <w:b/>
        </w:rPr>
      </w:pPr>
    </w:p>
    <w:p w14:paraId="44CFDCA6" w14:textId="77777777" w:rsidR="00010B0F" w:rsidRDefault="00010B0F">
      <w:pPr>
        <w:spacing w:after="27"/>
        <w:ind w:left="0" w:right="84" w:firstLine="0"/>
        <w:jc w:val="center"/>
        <w:rPr>
          <w:b/>
        </w:rPr>
      </w:pPr>
    </w:p>
    <w:p w14:paraId="3289C509" w14:textId="77777777" w:rsidR="00010B0F" w:rsidRDefault="00010B0F">
      <w:pPr>
        <w:spacing w:after="27"/>
        <w:ind w:left="0" w:right="84" w:firstLine="0"/>
        <w:jc w:val="center"/>
        <w:rPr>
          <w:b/>
        </w:rPr>
      </w:pPr>
    </w:p>
    <w:p w14:paraId="2CEFF4F8" w14:textId="0D7D34F1" w:rsidR="000B7A5E" w:rsidRDefault="0017180A">
      <w:pPr>
        <w:spacing w:after="27"/>
        <w:ind w:left="0" w:right="84" w:firstLine="0"/>
        <w:jc w:val="center"/>
      </w:pPr>
      <w:r>
        <w:rPr>
          <w:b/>
        </w:rPr>
        <w:t>Data Security and Privacy Policy</w:t>
      </w:r>
    </w:p>
    <w:p w14:paraId="0DFF900C" w14:textId="77777777" w:rsidR="00010B0F" w:rsidRPr="0017180A" w:rsidRDefault="00010B0F">
      <w:pPr>
        <w:spacing w:after="27"/>
        <w:ind w:left="10" w:right="62"/>
        <w:jc w:val="center"/>
        <w:rPr>
          <w:rFonts w:ascii="Open Sans" w:hAnsi="Open Sans" w:cs="Open Sans"/>
          <w:sz w:val="26"/>
          <w:szCs w:val="26"/>
        </w:rPr>
      </w:pPr>
    </w:p>
    <w:p w14:paraId="6BC16281" w14:textId="77777777" w:rsidR="0017180A" w:rsidRPr="0017180A" w:rsidRDefault="0017180A" w:rsidP="0017180A">
      <w:pPr>
        <w:pStyle w:val="NormalWeb"/>
        <w:shd w:val="clear" w:color="auto" w:fill="FFFFFF"/>
        <w:spacing w:before="0" w:beforeAutospacing="0" w:after="0" w:afterAutospacing="0"/>
        <w:jc w:val="both"/>
        <w:rPr>
          <w:rFonts w:ascii="Open Sans" w:hAnsi="Open Sans" w:cs="Open Sans"/>
          <w:color w:val="333333"/>
          <w:sz w:val="26"/>
          <w:szCs w:val="26"/>
        </w:rPr>
      </w:pPr>
      <w:r w:rsidRPr="0017180A">
        <w:rPr>
          <w:rFonts w:ascii="Open Sans" w:hAnsi="Open Sans" w:cs="Open Sans"/>
          <w:color w:val="333333"/>
          <w:sz w:val="26"/>
          <w:szCs w:val="26"/>
          <w:bdr w:val="none" w:sz="0" w:space="0" w:color="auto" w:frame="1"/>
        </w:rPr>
        <w:t>In accordance with New York State Education Law §2-d, the BOCES hereby implements the requirements of Commissioner’s regulations (8 NYCRR §121) and aligns its data security and privacy protocols with the National Institute for Standards and Technology Framework for Improving Critical Infrastructure Cybersecurity Version 1.1 (NIST Cybersecurity Framework or “NIST CSF”).</w:t>
      </w:r>
    </w:p>
    <w:p w14:paraId="74ECD151" w14:textId="77777777" w:rsidR="0017180A" w:rsidRPr="0017180A" w:rsidRDefault="0017180A" w:rsidP="0017180A">
      <w:pPr>
        <w:pStyle w:val="NormalWeb"/>
        <w:shd w:val="clear" w:color="auto" w:fill="FFFFFF"/>
        <w:spacing w:before="0" w:beforeAutospacing="0" w:after="0" w:afterAutospacing="0"/>
        <w:jc w:val="both"/>
        <w:rPr>
          <w:rFonts w:ascii="Open Sans" w:hAnsi="Open Sans" w:cs="Open Sans"/>
          <w:color w:val="333333"/>
          <w:sz w:val="26"/>
          <w:szCs w:val="26"/>
        </w:rPr>
      </w:pPr>
      <w:r w:rsidRPr="0017180A">
        <w:rPr>
          <w:rFonts w:ascii="Open Sans" w:hAnsi="Open Sans" w:cs="Open Sans"/>
          <w:color w:val="333333"/>
          <w:sz w:val="26"/>
          <w:szCs w:val="26"/>
        </w:rPr>
        <w:t> </w:t>
      </w:r>
    </w:p>
    <w:p w14:paraId="3C270457" w14:textId="77777777" w:rsidR="0017180A" w:rsidRPr="0017180A" w:rsidRDefault="0017180A" w:rsidP="0017180A">
      <w:pPr>
        <w:pStyle w:val="NormalWeb"/>
        <w:shd w:val="clear" w:color="auto" w:fill="FFFFFF"/>
        <w:spacing w:before="0" w:beforeAutospacing="0" w:after="0" w:afterAutospacing="0"/>
        <w:jc w:val="both"/>
        <w:rPr>
          <w:rFonts w:ascii="Open Sans" w:hAnsi="Open Sans" w:cs="Open Sans"/>
          <w:color w:val="333333"/>
          <w:sz w:val="26"/>
          <w:szCs w:val="26"/>
        </w:rPr>
      </w:pPr>
      <w:r w:rsidRPr="0017180A">
        <w:rPr>
          <w:rFonts w:ascii="Open Sans" w:hAnsi="Open Sans" w:cs="Open Sans"/>
          <w:color w:val="333333"/>
          <w:sz w:val="26"/>
          <w:szCs w:val="26"/>
          <w:bdr w:val="none" w:sz="0" w:space="0" w:color="auto" w:frame="1"/>
        </w:rPr>
        <w:t>In this regard, every use and disclosure of personally identifiable information (PII) by the BOCES will benefit students and the BOCES (for example, </w:t>
      </w:r>
      <w:bookmarkStart w:id="0" w:name="_Hlk41652602"/>
      <w:r w:rsidRPr="0017180A">
        <w:rPr>
          <w:rFonts w:ascii="Open Sans" w:hAnsi="Open Sans" w:cs="Open Sans"/>
          <w:color w:val="0000FF"/>
          <w:sz w:val="26"/>
          <w:szCs w:val="26"/>
          <w:u w:val="single"/>
          <w:bdr w:val="none" w:sz="0" w:space="0" w:color="auto" w:frame="1"/>
        </w:rPr>
        <w:t>improving academic achievement, empowering parents and students with information, and/or advancing efficient and effective school operations</w:t>
      </w:r>
      <w:bookmarkEnd w:id="0"/>
      <w:r w:rsidRPr="0017180A">
        <w:rPr>
          <w:rFonts w:ascii="Open Sans" w:hAnsi="Open Sans" w:cs="Open Sans"/>
          <w:color w:val="333333"/>
          <w:sz w:val="26"/>
          <w:szCs w:val="26"/>
          <w:bdr w:val="none" w:sz="0" w:space="0" w:color="auto" w:frame="1"/>
        </w:rPr>
        <w:t>).  PII will not be included in public reports or other documents.</w:t>
      </w:r>
    </w:p>
    <w:p w14:paraId="3FDE5772" w14:textId="77777777" w:rsidR="0017180A" w:rsidRPr="0017180A" w:rsidRDefault="0017180A" w:rsidP="0017180A">
      <w:pPr>
        <w:pStyle w:val="NormalWeb"/>
        <w:shd w:val="clear" w:color="auto" w:fill="FFFFFF"/>
        <w:spacing w:before="0" w:beforeAutospacing="0" w:after="0" w:afterAutospacing="0"/>
        <w:jc w:val="both"/>
        <w:rPr>
          <w:rFonts w:ascii="Open Sans" w:hAnsi="Open Sans" w:cs="Open Sans"/>
          <w:color w:val="333333"/>
          <w:sz w:val="26"/>
          <w:szCs w:val="26"/>
        </w:rPr>
      </w:pPr>
      <w:r w:rsidRPr="0017180A">
        <w:rPr>
          <w:rFonts w:ascii="Open Sans" w:hAnsi="Open Sans" w:cs="Open Sans"/>
          <w:color w:val="333333"/>
          <w:sz w:val="26"/>
          <w:szCs w:val="26"/>
        </w:rPr>
        <w:t> </w:t>
      </w:r>
    </w:p>
    <w:p w14:paraId="4FCD8216" w14:textId="77777777" w:rsidR="0017180A" w:rsidRPr="0017180A" w:rsidRDefault="0017180A" w:rsidP="0017180A">
      <w:pPr>
        <w:pStyle w:val="NormalWeb"/>
        <w:shd w:val="clear" w:color="auto" w:fill="FFFFFF"/>
        <w:spacing w:before="0" w:beforeAutospacing="0" w:after="0" w:afterAutospacing="0"/>
        <w:jc w:val="both"/>
        <w:rPr>
          <w:rFonts w:ascii="Open Sans" w:hAnsi="Open Sans" w:cs="Open Sans"/>
          <w:color w:val="333333"/>
          <w:sz w:val="26"/>
          <w:szCs w:val="26"/>
        </w:rPr>
      </w:pPr>
      <w:r w:rsidRPr="0017180A">
        <w:rPr>
          <w:rFonts w:ascii="Open Sans" w:hAnsi="Open Sans" w:cs="Open Sans"/>
          <w:color w:val="333333"/>
          <w:sz w:val="26"/>
          <w:szCs w:val="26"/>
          <w:bdr w:val="none" w:sz="0" w:space="0" w:color="auto" w:frame="1"/>
        </w:rPr>
        <w:t>The BOCES also complies with the provisions of the Family Educational Rights and Privacy Act of 1974 (FERPA).  </w:t>
      </w:r>
      <w:r w:rsidRPr="0017180A">
        <w:rPr>
          <w:rFonts w:ascii="Open Sans" w:hAnsi="Open Sans" w:cs="Open Sans"/>
          <w:color w:val="000000"/>
          <w:sz w:val="26"/>
          <w:szCs w:val="26"/>
          <w:bdr w:val="none" w:sz="0" w:space="0" w:color="auto" w:frame="1"/>
        </w:rPr>
        <w:t>Consistent with FERPA’s requirements, unless otherwise permitted by law or regulation, the BOCES will not release PII contained in student education records unless it has received a written consent (signed and dated) from a parent or eligible student.  For more details, see policy </w:t>
      </w:r>
      <w:r w:rsidRPr="0017180A">
        <w:rPr>
          <w:rFonts w:ascii="Open Sans" w:hAnsi="Open Sans" w:cs="Open Sans"/>
          <w:color w:val="333333"/>
          <w:sz w:val="26"/>
          <w:szCs w:val="26"/>
          <w:bdr w:val="none" w:sz="0" w:space="0" w:color="auto" w:frame="1"/>
        </w:rPr>
        <w:t>6320 </w:t>
      </w:r>
      <w:r w:rsidRPr="0017180A">
        <w:rPr>
          <w:rFonts w:ascii="Open Sans" w:hAnsi="Open Sans" w:cs="Open Sans"/>
          <w:color w:val="000000"/>
          <w:sz w:val="26"/>
          <w:szCs w:val="26"/>
          <w:bdr w:val="none" w:sz="0" w:space="0" w:color="auto" w:frame="1"/>
        </w:rPr>
        <w:t>and any applicable administrative regulations.</w:t>
      </w:r>
    </w:p>
    <w:p w14:paraId="1A045F62" w14:textId="77777777" w:rsidR="0017180A" w:rsidRPr="0017180A" w:rsidRDefault="0017180A" w:rsidP="0017180A">
      <w:pPr>
        <w:pStyle w:val="NormalWeb"/>
        <w:shd w:val="clear" w:color="auto" w:fill="FFFFFF"/>
        <w:spacing w:before="0" w:beforeAutospacing="0" w:after="0" w:afterAutospacing="0"/>
        <w:jc w:val="both"/>
        <w:rPr>
          <w:rFonts w:ascii="Open Sans" w:hAnsi="Open Sans" w:cs="Open Sans"/>
          <w:color w:val="333333"/>
          <w:sz w:val="26"/>
          <w:szCs w:val="26"/>
        </w:rPr>
      </w:pPr>
      <w:r w:rsidRPr="0017180A">
        <w:rPr>
          <w:rFonts w:ascii="Open Sans" w:hAnsi="Open Sans" w:cs="Open Sans"/>
          <w:color w:val="333333"/>
          <w:sz w:val="26"/>
          <w:szCs w:val="26"/>
        </w:rPr>
        <w:t> </w:t>
      </w:r>
    </w:p>
    <w:p w14:paraId="34CC00D4" w14:textId="77777777" w:rsidR="0017180A" w:rsidRPr="0017180A" w:rsidRDefault="0017180A" w:rsidP="0017180A">
      <w:pPr>
        <w:pStyle w:val="NormalWeb"/>
        <w:shd w:val="clear" w:color="auto" w:fill="FFFFFF"/>
        <w:spacing w:before="0" w:beforeAutospacing="0" w:after="0" w:afterAutospacing="0"/>
        <w:jc w:val="both"/>
        <w:rPr>
          <w:rFonts w:ascii="Open Sans" w:hAnsi="Open Sans" w:cs="Open Sans"/>
          <w:color w:val="333333"/>
          <w:sz w:val="26"/>
          <w:szCs w:val="26"/>
        </w:rPr>
      </w:pPr>
      <w:r w:rsidRPr="0017180A">
        <w:rPr>
          <w:rFonts w:ascii="Open Sans" w:hAnsi="Open Sans" w:cs="Open Sans"/>
          <w:color w:val="333333"/>
          <w:sz w:val="26"/>
          <w:szCs w:val="26"/>
          <w:bdr w:val="none" w:sz="0" w:space="0" w:color="auto" w:frame="1"/>
        </w:rPr>
        <w:t>In addition to the requirements of FERPA, the Individuals with Disabilities Education Act (IDEA) provides additional privacy protections for students who are receiving special education and related services.  For example, pursuant to these rules, the BOCES will inform parents of children with disabilities when information is no longer needed and, except for certain permanent record information, that such information will be destroyed at the request of the parents.  The BOCES will comply with all such privacy provisions to protect the confidentiality of PII at collection, storage, disclosure, and destruction stages as set forth in federal regulations 34 CFR 300.610 through 300.627.</w:t>
      </w:r>
    </w:p>
    <w:p w14:paraId="114890C5" w14:textId="77777777" w:rsidR="0017180A" w:rsidRPr="0017180A" w:rsidRDefault="0017180A" w:rsidP="0017180A">
      <w:pPr>
        <w:pStyle w:val="NormalWeb"/>
        <w:shd w:val="clear" w:color="auto" w:fill="FFFFFF"/>
        <w:spacing w:before="0" w:beforeAutospacing="0" w:after="0" w:afterAutospacing="0"/>
        <w:jc w:val="both"/>
        <w:rPr>
          <w:rFonts w:ascii="Open Sans" w:hAnsi="Open Sans" w:cs="Open Sans"/>
          <w:color w:val="333333"/>
          <w:sz w:val="26"/>
          <w:szCs w:val="26"/>
        </w:rPr>
      </w:pPr>
      <w:r w:rsidRPr="0017180A">
        <w:rPr>
          <w:rFonts w:ascii="Open Sans" w:hAnsi="Open Sans" w:cs="Open Sans"/>
          <w:color w:val="333333"/>
          <w:sz w:val="26"/>
          <w:szCs w:val="26"/>
        </w:rPr>
        <w:lastRenderedPageBreak/>
        <w:t> </w:t>
      </w:r>
    </w:p>
    <w:p w14:paraId="27E6A18C" w14:textId="77777777" w:rsidR="0017180A" w:rsidRPr="0017180A" w:rsidRDefault="0017180A" w:rsidP="0017180A">
      <w:pPr>
        <w:pStyle w:val="NormalWeb"/>
        <w:shd w:val="clear" w:color="auto" w:fill="FFFFFF"/>
        <w:spacing w:before="0" w:beforeAutospacing="0" w:after="0" w:afterAutospacing="0"/>
        <w:jc w:val="both"/>
        <w:rPr>
          <w:rFonts w:ascii="Open Sans" w:hAnsi="Open Sans" w:cs="Open Sans"/>
          <w:color w:val="333333"/>
          <w:sz w:val="26"/>
          <w:szCs w:val="26"/>
        </w:rPr>
      </w:pPr>
      <w:r w:rsidRPr="0017180A">
        <w:rPr>
          <w:rFonts w:ascii="Open Sans" w:hAnsi="Open Sans" w:cs="Open Sans"/>
          <w:color w:val="333333"/>
          <w:sz w:val="26"/>
          <w:szCs w:val="26"/>
          <w:bdr w:val="none" w:sz="0" w:space="0" w:color="auto" w:frame="1"/>
        </w:rPr>
        <w:t xml:space="preserve">The District Superintendent or his/her designee will establish and communicate procedures for parents, eligible students, and employees to file complaints about breaches or unauthorized releases of student, teacher or principal data (as set forth in 8 NYCRR §121.4).  The District Superintendent is also authorized to promulgate </w:t>
      </w:r>
      <w:proofErr w:type="gramStart"/>
      <w:r w:rsidRPr="0017180A">
        <w:rPr>
          <w:rFonts w:ascii="Open Sans" w:hAnsi="Open Sans" w:cs="Open Sans"/>
          <w:color w:val="333333"/>
          <w:sz w:val="26"/>
          <w:szCs w:val="26"/>
          <w:bdr w:val="none" w:sz="0" w:space="0" w:color="auto" w:frame="1"/>
        </w:rPr>
        <w:t>any and all</w:t>
      </w:r>
      <w:proofErr w:type="gramEnd"/>
      <w:r w:rsidRPr="0017180A">
        <w:rPr>
          <w:rFonts w:ascii="Open Sans" w:hAnsi="Open Sans" w:cs="Open Sans"/>
          <w:color w:val="333333"/>
          <w:sz w:val="26"/>
          <w:szCs w:val="26"/>
          <w:bdr w:val="none" w:sz="0" w:space="0" w:color="auto" w:frame="1"/>
        </w:rPr>
        <w:t xml:space="preserve"> other regulations necessary and proper to implement this policy.</w:t>
      </w:r>
    </w:p>
    <w:p w14:paraId="55D03261" w14:textId="77777777" w:rsidR="0017180A" w:rsidRPr="0017180A" w:rsidRDefault="0017180A" w:rsidP="0017180A">
      <w:pPr>
        <w:pStyle w:val="NormalWeb"/>
        <w:shd w:val="clear" w:color="auto" w:fill="FFFFFF"/>
        <w:spacing w:before="0" w:beforeAutospacing="0" w:after="0" w:afterAutospacing="0"/>
        <w:jc w:val="both"/>
        <w:rPr>
          <w:rFonts w:ascii="Open Sans" w:hAnsi="Open Sans" w:cs="Open Sans"/>
          <w:color w:val="333333"/>
          <w:sz w:val="26"/>
          <w:szCs w:val="26"/>
        </w:rPr>
      </w:pPr>
      <w:r w:rsidRPr="0017180A">
        <w:rPr>
          <w:rFonts w:ascii="Open Sans" w:hAnsi="Open Sans" w:cs="Open Sans"/>
          <w:color w:val="333333"/>
          <w:sz w:val="26"/>
          <w:szCs w:val="26"/>
          <w:bdr w:val="none" w:sz="0" w:space="0" w:color="auto" w:frame="1"/>
        </w:rPr>
        <w:t> </w:t>
      </w:r>
    </w:p>
    <w:p w14:paraId="2F2987C2" w14:textId="77777777" w:rsidR="0017180A" w:rsidRPr="0017180A" w:rsidRDefault="0017180A" w:rsidP="0017180A">
      <w:pPr>
        <w:pStyle w:val="NormalWeb"/>
        <w:shd w:val="clear" w:color="auto" w:fill="FFFFFF"/>
        <w:spacing w:before="0" w:beforeAutospacing="0" w:after="0" w:afterAutospacing="0"/>
        <w:jc w:val="both"/>
        <w:rPr>
          <w:rFonts w:ascii="Open Sans" w:hAnsi="Open Sans" w:cs="Open Sans"/>
          <w:color w:val="333333"/>
          <w:sz w:val="26"/>
          <w:szCs w:val="26"/>
        </w:rPr>
      </w:pPr>
      <w:r w:rsidRPr="0017180A">
        <w:rPr>
          <w:rFonts w:ascii="Open Sans" w:hAnsi="Open Sans" w:cs="Open Sans"/>
          <w:color w:val="333333"/>
          <w:sz w:val="26"/>
          <w:szCs w:val="26"/>
        </w:rPr>
        <w:t> </w:t>
      </w:r>
    </w:p>
    <w:p w14:paraId="6749F31E" w14:textId="77777777" w:rsidR="0017180A" w:rsidRPr="0017180A" w:rsidRDefault="0017180A" w:rsidP="0017180A">
      <w:pPr>
        <w:pStyle w:val="NormalWeb"/>
        <w:shd w:val="clear" w:color="auto" w:fill="FFFFFF"/>
        <w:spacing w:before="0" w:beforeAutospacing="0" w:after="0" w:afterAutospacing="0"/>
        <w:rPr>
          <w:rFonts w:ascii="Open Sans" w:hAnsi="Open Sans" w:cs="Open Sans"/>
          <w:color w:val="333333"/>
          <w:sz w:val="26"/>
          <w:szCs w:val="26"/>
        </w:rPr>
      </w:pPr>
      <w:r w:rsidRPr="0017180A">
        <w:rPr>
          <w:rFonts w:ascii="Open Sans" w:hAnsi="Open Sans" w:cs="Open Sans"/>
          <w:color w:val="333333"/>
          <w:sz w:val="26"/>
          <w:szCs w:val="26"/>
          <w:bdr w:val="none" w:sz="0" w:space="0" w:color="auto" w:frame="1"/>
        </w:rPr>
        <w:t>Education Law §2-d</w:t>
      </w:r>
    </w:p>
    <w:p w14:paraId="1B00B758" w14:textId="77777777" w:rsidR="0017180A" w:rsidRPr="0017180A" w:rsidRDefault="0017180A" w:rsidP="0017180A">
      <w:pPr>
        <w:pStyle w:val="NormalWeb"/>
        <w:shd w:val="clear" w:color="auto" w:fill="FFFFFF"/>
        <w:spacing w:before="0" w:beforeAutospacing="0" w:after="0" w:afterAutospacing="0"/>
        <w:rPr>
          <w:rFonts w:ascii="Open Sans" w:hAnsi="Open Sans" w:cs="Open Sans"/>
          <w:color w:val="333333"/>
          <w:sz w:val="26"/>
          <w:szCs w:val="26"/>
        </w:rPr>
      </w:pPr>
      <w:r w:rsidRPr="0017180A">
        <w:rPr>
          <w:rFonts w:ascii="Open Sans" w:hAnsi="Open Sans" w:cs="Open Sans"/>
          <w:color w:val="333333"/>
          <w:sz w:val="26"/>
          <w:szCs w:val="26"/>
          <w:bdr w:val="none" w:sz="0" w:space="0" w:color="auto" w:frame="1"/>
        </w:rPr>
        <w:t>8 NYCRR §121</w:t>
      </w:r>
    </w:p>
    <w:p w14:paraId="05865E99" w14:textId="77777777" w:rsidR="0017180A" w:rsidRPr="0017180A" w:rsidRDefault="0017180A" w:rsidP="0017180A">
      <w:pPr>
        <w:pStyle w:val="NormalWeb"/>
        <w:shd w:val="clear" w:color="auto" w:fill="FFFFFF"/>
        <w:spacing w:before="0" w:beforeAutospacing="0" w:after="0" w:afterAutospacing="0"/>
        <w:rPr>
          <w:rFonts w:ascii="Open Sans" w:hAnsi="Open Sans" w:cs="Open Sans"/>
          <w:color w:val="333333"/>
          <w:sz w:val="26"/>
          <w:szCs w:val="26"/>
        </w:rPr>
      </w:pPr>
      <w:r w:rsidRPr="0017180A">
        <w:rPr>
          <w:rFonts w:ascii="Open Sans" w:hAnsi="Open Sans" w:cs="Open Sans"/>
          <w:color w:val="333333"/>
          <w:sz w:val="26"/>
          <w:szCs w:val="26"/>
          <w:bdr w:val="none" w:sz="0" w:space="0" w:color="auto" w:frame="1"/>
        </w:rPr>
        <w:t>Family Educational Rights and Privacy Act of 1974, 20 USC §1232(g), 34 CFR 99</w:t>
      </w:r>
    </w:p>
    <w:p w14:paraId="0EE7CCD5" w14:textId="77777777" w:rsidR="0017180A" w:rsidRPr="0017180A" w:rsidRDefault="0017180A" w:rsidP="0017180A">
      <w:pPr>
        <w:pStyle w:val="NormalWeb"/>
        <w:shd w:val="clear" w:color="auto" w:fill="FFFFFF"/>
        <w:spacing w:before="0" w:beforeAutospacing="0" w:after="0" w:afterAutospacing="0"/>
        <w:rPr>
          <w:rFonts w:ascii="Open Sans" w:hAnsi="Open Sans" w:cs="Open Sans"/>
          <w:color w:val="333333"/>
          <w:sz w:val="26"/>
          <w:szCs w:val="26"/>
        </w:rPr>
      </w:pPr>
      <w:r w:rsidRPr="0017180A">
        <w:rPr>
          <w:rFonts w:ascii="Open Sans" w:hAnsi="Open Sans" w:cs="Open Sans"/>
          <w:color w:val="333333"/>
          <w:sz w:val="26"/>
          <w:szCs w:val="26"/>
          <w:bdr w:val="none" w:sz="0" w:space="0" w:color="auto" w:frame="1"/>
        </w:rPr>
        <w:t>Individuals with Disabilities Education Act (IDEA), 20 USC §1400 et seq., 34 CFR 300.610–300.627</w:t>
      </w:r>
    </w:p>
    <w:p w14:paraId="61644F82" w14:textId="1764B4CE" w:rsidR="000B7A5E" w:rsidRDefault="000B7A5E" w:rsidP="00010B0F">
      <w:pPr>
        <w:spacing w:after="27"/>
        <w:ind w:left="10" w:right="62"/>
      </w:pPr>
    </w:p>
    <w:p w14:paraId="0D78FF9B" w14:textId="75F29CB2" w:rsidR="0017180A" w:rsidRDefault="0017180A" w:rsidP="00010B0F">
      <w:pPr>
        <w:spacing w:after="27"/>
        <w:ind w:left="10" w:right="62"/>
      </w:pPr>
    </w:p>
    <w:p w14:paraId="77724C20" w14:textId="4A2A611D" w:rsidR="0017180A" w:rsidRDefault="0017180A" w:rsidP="00010B0F">
      <w:pPr>
        <w:spacing w:after="27"/>
        <w:ind w:left="10" w:right="62"/>
      </w:pPr>
      <w:hyperlink r:id="rId6" w:history="1">
        <w:r w:rsidRPr="00AD5659">
          <w:rPr>
            <w:rStyle w:val="Hyperlink"/>
          </w:rPr>
          <w:t>https://go.boarddocs.com/ny/citiboces/Board.nsf/goto?open&amp;id=BU8NG25FCB10</w:t>
        </w:r>
      </w:hyperlink>
    </w:p>
    <w:p w14:paraId="0BF6C341" w14:textId="77777777" w:rsidR="0017180A" w:rsidRDefault="0017180A" w:rsidP="00010B0F">
      <w:pPr>
        <w:spacing w:after="27"/>
        <w:ind w:left="10" w:right="62"/>
      </w:pPr>
    </w:p>
    <w:sectPr w:rsidR="0017180A">
      <w:pgSz w:w="12240" w:h="15840"/>
      <w:pgMar w:top="1440" w:right="137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E5CBD"/>
    <w:multiLevelType w:val="multilevel"/>
    <w:tmpl w:val="FE34BF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219434">
    <w:abstractNumId w:val="0"/>
  </w:num>
  <w:num w:numId="2" w16cid:durableId="865562588">
    <w:abstractNumId w:val="0"/>
    <w:lvlOverride w:ilvl="1">
      <w:startOverride w:val="2"/>
    </w:lvlOverride>
  </w:num>
  <w:num w:numId="3" w16cid:durableId="865562588">
    <w:abstractNumId w:val="0"/>
    <w:lvlOverride w:ilvl="1">
      <w:startOverride w:val="3"/>
    </w:lvlOverride>
  </w:num>
  <w:num w:numId="4" w16cid:durableId="865562588">
    <w:abstractNumId w:val="0"/>
    <w:lvlOverride w:ilvl="1">
      <w:startOverride w:val="4"/>
    </w:lvlOverride>
  </w:num>
  <w:num w:numId="5" w16cid:durableId="865562588">
    <w:abstractNumId w:val="0"/>
    <w:lvlOverride w:ilvl="1">
      <w:startOverride w:val="5"/>
    </w:lvlOverride>
  </w:num>
  <w:num w:numId="6" w16cid:durableId="865562588">
    <w:abstractNumId w:val="0"/>
    <w:lvlOverride w:ilvl="1">
      <w:startOverride w:val="6"/>
    </w:lvlOverride>
  </w:num>
  <w:num w:numId="7" w16cid:durableId="865562588">
    <w:abstractNumId w:val="0"/>
    <w:lvlOverride w:ilvl="1">
      <w:startOverride w:val="7"/>
    </w:lvlOverride>
  </w:num>
  <w:num w:numId="8" w16cid:durableId="865562588">
    <w:abstractNumId w:val="0"/>
    <w:lvlOverride w:ilvl="1">
      <w:startOverride w:val="8"/>
    </w:lvlOverride>
  </w:num>
  <w:num w:numId="9" w16cid:durableId="865562588">
    <w:abstractNumId w:val="0"/>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A5E"/>
    <w:rsid w:val="00010B0F"/>
    <w:rsid w:val="00083ABC"/>
    <w:rsid w:val="000B7A5E"/>
    <w:rsid w:val="0017180A"/>
    <w:rsid w:val="0025411F"/>
    <w:rsid w:val="0040390A"/>
    <w:rsid w:val="00554AA0"/>
    <w:rsid w:val="0058532D"/>
    <w:rsid w:val="005B7DA2"/>
    <w:rsid w:val="00692154"/>
    <w:rsid w:val="006C7609"/>
    <w:rsid w:val="006F37FE"/>
    <w:rsid w:val="0076721D"/>
    <w:rsid w:val="007D22ED"/>
    <w:rsid w:val="00831C28"/>
    <w:rsid w:val="009A7E6C"/>
    <w:rsid w:val="00A97484"/>
    <w:rsid w:val="00AD6DFD"/>
    <w:rsid w:val="00B85E28"/>
    <w:rsid w:val="00BC4A75"/>
    <w:rsid w:val="00D572AA"/>
    <w:rsid w:val="00DC5BF1"/>
    <w:rsid w:val="00DF1846"/>
    <w:rsid w:val="00E7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8644"/>
  <w15:docId w15:val="{6FFB0B55-5F39-4B88-87E6-3B21C3FB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7"/>
      <w:ind w:left="2155"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010B0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010B0F"/>
    <w:rPr>
      <w:color w:val="0000FF"/>
      <w:u w:val="single"/>
    </w:rPr>
  </w:style>
  <w:style w:type="character" w:styleId="UnresolvedMention">
    <w:name w:val="Unresolved Mention"/>
    <w:basedOn w:val="DefaultParagraphFont"/>
    <w:uiPriority w:val="99"/>
    <w:semiHidden/>
    <w:unhideWhenUsed/>
    <w:rsid w:val="0017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682135">
      <w:bodyDiv w:val="1"/>
      <w:marLeft w:val="0"/>
      <w:marRight w:val="0"/>
      <w:marTop w:val="0"/>
      <w:marBottom w:val="0"/>
      <w:divBdr>
        <w:top w:val="none" w:sz="0" w:space="0" w:color="auto"/>
        <w:left w:val="none" w:sz="0" w:space="0" w:color="auto"/>
        <w:bottom w:val="none" w:sz="0" w:space="0" w:color="auto"/>
        <w:right w:val="none" w:sz="0" w:space="0" w:color="auto"/>
      </w:divBdr>
      <w:divsChild>
        <w:div w:id="1878158289">
          <w:marLeft w:val="0"/>
          <w:marRight w:val="0"/>
          <w:marTop w:val="0"/>
          <w:marBottom w:val="0"/>
          <w:divBdr>
            <w:top w:val="none" w:sz="0" w:space="0" w:color="auto"/>
            <w:left w:val="none" w:sz="0" w:space="0" w:color="auto"/>
            <w:bottom w:val="none" w:sz="0" w:space="0" w:color="auto"/>
            <w:right w:val="none" w:sz="0" w:space="0" w:color="auto"/>
          </w:divBdr>
          <w:divsChild>
            <w:div w:id="19580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boarddocs.com/ny/citiboces/Board.nsf/goto?open&amp;id=BU8NG25FCB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Canale</dc:creator>
  <cp:keywords/>
  <cp:lastModifiedBy>Canale, Anthony</cp:lastModifiedBy>
  <cp:revision>2</cp:revision>
  <cp:lastPrinted>2020-06-03T11:46:00Z</cp:lastPrinted>
  <dcterms:created xsi:type="dcterms:W3CDTF">2022-11-16T20:47:00Z</dcterms:created>
  <dcterms:modified xsi:type="dcterms:W3CDTF">2022-11-16T20:47:00Z</dcterms:modified>
</cp:coreProperties>
</file>